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1F" w:rsidRPr="00AF6C07" w:rsidRDefault="0085251F" w:rsidP="0085251F">
      <w:pPr>
        <w:spacing w:after="0" w:line="240" w:lineRule="auto"/>
        <w:jc w:val="both"/>
        <w:rPr>
          <w:rFonts w:ascii="Century Gothic" w:hAnsi="Century Gothic"/>
          <w:b/>
          <w:color w:val="C0504D" w:themeColor="accent2"/>
          <w:sz w:val="24"/>
        </w:rPr>
      </w:pPr>
      <w:bookmarkStart w:id="0" w:name="_GoBack"/>
      <w:bookmarkEnd w:id="0"/>
      <w:r w:rsidRPr="00AF6C07">
        <w:rPr>
          <w:rFonts w:ascii="Century Gothic" w:hAnsi="Century Gothic"/>
          <w:b/>
          <w:color w:val="C0504D" w:themeColor="accent2"/>
          <w:sz w:val="24"/>
        </w:rPr>
        <w:t>Payment Information</w:t>
      </w:r>
      <w:r>
        <w:rPr>
          <w:rFonts w:ascii="Century Gothic" w:hAnsi="Century Gothic"/>
          <w:b/>
          <w:color w:val="C0504D" w:themeColor="accent2"/>
          <w:sz w:val="24"/>
        </w:rPr>
        <w:t xml:space="preserve"> for the Month of July 2017</w:t>
      </w:r>
    </w:p>
    <w:p w:rsidR="0085251F" w:rsidRDefault="0085251F" w:rsidP="0085251F">
      <w:pPr>
        <w:spacing w:before="100" w:beforeAutospacing="1" w:after="100" w:afterAutospacing="1" w:line="240" w:lineRule="auto"/>
        <w:rPr>
          <w:rStyle w:val="Hyperlink"/>
          <w:rFonts w:ascii="Century Gothic" w:hAnsi="Century Gothic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394"/>
        <w:gridCol w:w="2394"/>
      </w:tblGrid>
      <w:tr w:rsidR="0085251F" w:rsidTr="001862CE">
        <w:tc>
          <w:tcPr>
            <w:tcW w:w="4788" w:type="dxa"/>
          </w:tcPr>
          <w:p w:rsidR="0085251F" w:rsidRPr="00023015" w:rsidRDefault="0085251F" w:rsidP="001862CE">
            <w:pPr>
              <w:spacing w:before="100" w:beforeAutospacing="1" w:after="100" w:afterAutospacing="1"/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Description</w:t>
            </w:r>
          </w:p>
        </w:tc>
        <w:tc>
          <w:tcPr>
            <w:tcW w:w="2394" w:type="dxa"/>
          </w:tcPr>
          <w:p w:rsidR="0085251F" w:rsidRPr="00023015" w:rsidRDefault="0085251F" w:rsidP="001862CE">
            <w:pPr>
              <w:spacing w:before="100" w:beforeAutospacing="1" w:after="100" w:afterAutospacing="1"/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Brunei Dollars</w:t>
            </w:r>
          </w:p>
        </w:tc>
        <w:tc>
          <w:tcPr>
            <w:tcW w:w="2394" w:type="dxa"/>
          </w:tcPr>
          <w:p w:rsidR="0085251F" w:rsidRPr="00023015" w:rsidRDefault="0085251F" w:rsidP="001862CE">
            <w:pPr>
              <w:spacing w:before="100" w:beforeAutospacing="1" w:after="100" w:afterAutospacing="1"/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Philippine Peso</w:t>
            </w:r>
          </w:p>
        </w:tc>
      </w:tr>
      <w:tr w:rsidR="0085251F" w:rsidTr="001862CE">
        <w:tc>
          <w:tcPr>
            <w:tcW w:w="4788" w:type="dxa"/>
            <w:vMerge w:val="restart"/>
          </w:tcPr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Passport Renewal for Brunei Darussalam Citizen</w:t>
            </w:r>
          </w:p>
          <w:p w:rsidR="0085251F" w:rsidRPr="00023015" w:rsidRDefault="0085251F" w:rsidP="001862CE">
            <w:pPr>
              <w:pStyle w:val="ListParagraph"/>
              <w:rPr>
                <w:rStyle w:val="Hyperlink"/>
                <w:rFonts w:ascii="Century Gothic" w:hAnsi="Century Gothic"/>
                <w:i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i/>
                <w:sz w:val="20"/>
                <w:u w:val="none"/>
              </w:rPr>
              <w:t>Surcharge for lost passport</w:t>
            </w:r>
          </w:p>
          <w:p w:rsidR="0085251F" w:rsidRPr="00023015" w:rsidRDefault="0085251F" w:rsidP="001862CE">
            <w:pPr>
              <w:pStyle w:val="ListParagraph"/>
              <w:spacing w:before="100" w:beforeAutospacing="1" w:after="100" w:afterAutospacing="1"/>
              <w:rPr>
                <w:rStyle w:val="Hyperlink"/>
                <w:rFonts w:ascii="Century Gothic" w:hAnsi="Century Gothic"/>
                <w:i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i/>
                <w:sz w:val="20"/>
                <w:u w:val="none"/>
              </w:rPr>
              <w:t>First time</w:t>
            </w:r>
          </w:p>
          <w:p w:rsidR="0085251F" w:rsidRPr="00023015" w:rsidRDefault="0085251F" w:rsidP="001862CE">
            <w:pPr>
              <w:pStyle w:val="ListParagraph"/>
              <w:spacing w:before="100" w:beforeAutospacing="1" w:after="100" w:afterAutospacing="1"/>
              <w:rPr>
                <w:rStyle w:val="Hyperlink"/>
                <w:rFonts w:ascii="Century Gothic" w:hAnsi="Century Gothic"/>
                <w:i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i/>
                <w:sz w:val="20"/>
                <w:u w:val="none"/>
              </w:rPr>
              <w:t>Second time</w:t>
            </w:r>
          </w:p>
          <w:p w:rsidR="0085251F" w:rsidRPr="00023015" w:rsidRDefault="0085251F" w:rsidP="001862CE">
            <w:pPr>
              <w:pStyle w:val="ListParagraph"/>
              <w:rPr>
                <w:rStyle w:val="Hyperlink"/>
                <w:rFonts w:ascii="Century Gothic" w:hAnsi="Century Gothic"/>
                <w:i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i/>
                <w:sz w:val="20"/>
                <w:u w:val="none"/>
              </w:rPr>
              <w:t>Third time</w:t>
            </w:r>
          </w:p>
          <w:p w:rsidR="0085251F" w:rsidRPr="00023015" w:rsidRDefault="0085251F" w:rsidP="001862CE">
            <w:pPr>
              <w:pStyle w:val="ListParagraph"/>
              <w:rPr>
                <w:rStyle w:val="Hyperlink"/>
                <w:rFonts w:ascii="Century Gothic" w:hAnsi="Century Gothic"/>
                <w:sz w:val="20"/>
                <w:u w:val="none"/>
              </w:rPr>
            </w:pPr>
          </w:p>
        </w:tc>
        <w:tc>
          <w:tcPr>
            <w:tcW w:w="2394" w:type="dxa"/>
          </w:tcPr>
          <w:p w:rsidR="0085251F" w:rsidRPr="00023015" w:rsidRDefault="0085251F" w:rsidP="001862CE">
            <w:pPr>
              <w:spacing w:before="100" w:beforeAutospacing="1" w:after="100" w:afterAutospacing="1"/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BND 60.00</w:t>
            </w:r>
          </w:p>
        </w:tc>
        <w:tc>
          <w:tcPr>
            <w:tcW w:w="2394" w:type="dxa"/>
          </w:tcPr>
          <w:p w:rsidR="0085251F" w:rsidRPr="00023015" w:rsidRDefault="0085251F" w:rsidP="001862CE">
            <w:pPr>
              <w:spacing w:before="100" w:beforeAutospacing="1" w:after="100" w:afterAutospacing="1"/>
              <w:rPr>
                <w:rStyle w:val="Hyperlink"/>
                <w:rFonts w:ascii="Century Gothic" w:hAnsi="Century Gothic"/>
                <w:sz w:val="20"/>
                <w:u w:val="none"/>
              </w:rPr>
            </w:pPr>
            <w:proofErr w:type="spellStart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Php</w:t>
            </w:r>
            <w:proofErr w:type="spellEnd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 xml:space="preserve"> 1,900</w:t>
            </w:r>
          </w:p>
        </w:tc>
      </w:tr>
      <w:tr w:rsidR="0085251F" w:rsidTr="001862CE">
        <w:tc>
          <w:tcPr>
            <w:tcW w:w="4788" w:type="dxa"/>
            <w:vMerge/>
          </w:tcPr>
          <w:p w:rsidR="0085251F" w:rsidRPr="00023015" w:rsidRDefault="0085251F" w:rsidP="001862CE">
            <w:pPr>
              <w:pStyle w:val="ListParagraph"/>
              <w:rPr>
                <w:rStyle w:val="Hyperlink"/>
                <w:rFonts w:ascii="Century Gothic" w:hAnsi="Century Gothic"/>
                <w:i/>
                <w:sz w:val="20"/>
                <w:u w:val="none"/>
              </w:rPr>
            </w:pPr>
          </w:p>
        </w:tc>
        <w:tc>
          <w:tcPr>
            <w:tcW w:w="2394" w:type="dxa"/>
          </w:tcPr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</w:p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BND 150.00</w:t>
            </w:r>
          </w:p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BND 300.00</w:t>
            </w:r>
          </w:p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BND 450.00</w:t>
            </w:r>
          </w:p>
        </w:tc>
        <w:tc>
          <w:tcPr>
            <w:tcW w:w="2394" w:type="dxa"/>
          </w:tcPr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</w:p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proofErr w:type="spellStart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Php</w:t>
            </w:r>
            <w:proofErr w:type="spellEnd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 xml:space="preserve"> 4,800</w:t>
            </w:r>
          </w:p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proofErr w:type="spellStart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Php</w:t>
            </w:r>
            <w:proofErr w:type="spellEnd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 xml:space="preserve"> 9,500</w:t>
            </w:r>
          </w:p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proofErr w:type="spellStart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Php</w:t>
            </w:r>
            <w:proofErr w:type="spellEnd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 xml:space="preserve"> 14,200</w:t>
            </w:r>
          </w:p>
        </w:tc>
      </w:tr>
      <w:tr w:rsidR="0085251F" w:rsidTr="001862CE">
        <w:tc>
          <w:tcPr>
            <w:tcW w:w="4788" w:type="dxa"/>
          </w:tcPr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Emergency Certificate (</w:t>
            </w:r>
            <w:proofErr w:type="spellStart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Sijil</w:t>
            </w:r>
            <w:proofErr w:type="spellEnd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 xml:space="preserve"> </w:t>
            </w:r>
            <w:proofErr w:type="spellStart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Darurat</w:t>
            </w:r>
            <w:proofErr w:type="spellEnd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)</w:t>
            </w:r>
          </w:p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</w:p>
        </w:tc>
        <w:tc>
          <w:tcPr>
            <w:tcW w:w="2394" w:type="dxa"/>
          </w:tcPr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BND 20.00</w:t>
            </w:r>
          </w:p>
        </w:tc>
        <w:tc>
          <w:tcPr>
            <w:tcW w:w="2394" w:type="dxa"/>
          </w:tcPr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proofErr w:type="spellStart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Php</w:t>
            </w:r>
            <w:proofErr w:type="spellEnd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 xml:space="preserve"> 635</w:t>
            </w:r>
          </w:p>
        </w:tc>
      </w:tr>
      <w:tr w:rsidR="0085251F" w:rsidTr="001862CE">
        <w:tc>
          <w:tcPr>
            <w:tcW w:w="4788" w:type="dxa"/>
          </w:tcPr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 xml:space="preserve">Police </w:t>
            </w:r>
            <w:proofErr w:type="spellStart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Cerificate</w:t>
            </w:r>
            <w:proofErr w:type="spellEnd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 xml:space="preserve"> of Good Conduct </w:t>
            </w:r>
          </w:p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</w:p>
        </w:tc>
        <w:tc>
          <w:tcPr>
            <w:tcW w:w="2394" w:type="dxa"/>
          </w:tcPr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BND 50.00</w:t>
            </w:r>
          </w:p>
        </w:tc>
        <w:tc>
          <w:tcPr>
            <w:tcW w:w="2394" w:type="dxa"/>
          </w:tcPr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proofErr w:type="spellStart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Php</w:t>
            </w:r>
            <w:proofErr w:type="spellEnd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 xml:space="preserve"> 1,580</w:t>
            </w:r>
          </w:p>
        </w:tc>
      </w:tr>
      <w:tr w:rsidR="0085251F" w:rsidTr="001862CE">
        <w:tc>
          <w:tcPr>
            <w:tcW w:w="4788" w:type="dxa"/>
          </w:tcPr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Certified Copy of Birth Certificate</w:t>
            </w:r>
          </w:p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</w:p>
        </w:tc>
        <w:tc>
          <w:tcPr>
            <w:tcW w:w="2394" w:type="dxa"/>
          </w:tcPr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BND 5.00</w:t>
            </w:r>
          </w:p>
        </w:tc>
        <w:tc>
          <w:tcPr>
            <w:tcW w:w="2394" w:type="dxa"/>
          </w:tcPr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proofErr w:type="spellStart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Php</w:t>
            </w:r>
            <w:proofErr w:type="spellEnd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 xml:space="preserve"> 160</w:t>
            </w:r>
          </w:p>
        </w:tc>
      </w:tr>
      <w:tr w:rsidR="0085251F" w:rsidTr="001862CE">
        <w:tc>
          <w:tcPr>
            <w:tcW w:w="4788" w:type="dxa"/>
          </w:tcPr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Visa</w:t>
            </w:r>
          </w:p>
          <w:p w:rsidR="0085251F" w:rsidRPr="00023015" w:rsidRDefault="0085251F" w:rsidP="001862CE">
            <w:pPr>
              <w:tabs>
                <w:tab w:val="left" w:pos="450"/>
              </w:tabs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ab/>
              <w:t>Visit Visa – Single Entry (3 months validity)</w:t>
            </w:r>
          </w:p>
          <w:p w:rsidR="0085251F" w:rsidRPr="00023015" w:rsidRDefault="0085251F" w:rsidP="001862CE">
            <w:pPr>
              <w:tabs>
                <w:tab w:val="left" w:pos="450"/>
              </w:tabs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ab/>
              <w:t>Visit Visa – Multiple Entry (3 months validity)</w:t>
            </w:r>
          </w:p>
          <w:p w:rsidR="0085251F" w:rsidRPr="00023015" w:rsidRDefault="0085251F" w:rsidP="001862CE">
            <w:pPr>
              <w:tabs>
                <w:tab w:val="left" w:pos="450"/>
              </w:tabs>
              <w:rPr>
                <w:rStyle w:val="Hyperlink"/>
                <w:rFonts w:ascii="Century Gothic" w:hAnsi="Century Gothic"/>
                <w:sz w:val="20"/>
                <w:u w:val="none"/>
              </w:rPr>
            </w:pPr>
          </w:p>
          <w:p w:rsidR="0085251F" w:rsidRPr="00023015" w:rsidRDefault="0085251F" w:rsidP="001862CE">
            <w:pPr>
              <w:tabs>
                <w:tab w:val="left" w:pos="450"/>
              </w:tabs>
              <w:ind w:left="450" w:hanging="450"/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ab/>
              <w:t>Employment / Pre-Approved Visit / Professional / Business Visa</w:t>
            </w:r>
          </w:p>
          <w:p w:rsidR="0085251F" w:rsidRPr="00023015" w:rsidRDefault="0085251F" w:rsidP="001862CE">
            <w:pPr>
              <w:spacing w:before="100" w:beforeAutospacing="1" w:after="100" w:afterAutospacing="1"/>
              <w:rPr>
                <w:rStyle w:val="Hyperlink"/>
                <w:rFonts w:ascii="Century Gothic" w:hAnsi="Century Gothic"/>
                <w:sz w:val="20"/>
                <w:u w:val="none"/>
              </w:rPr>
            </w:pPr>
          </w:p>
        </w:tc>
        <w:tc>
          <w:tcPr>
            <w:tcW w:w="2394" w:type="dxa"/>
          </w:tcPr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</w:p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BND 20.00</w:t>
            </w:r>
          </w:p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BND 30.00</w:t>
            </w:r>
          </w:p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</w:p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BND 20.00</w:t>
            </w:r>
          </w:p>
        </w:tc>
        <w:tc>
          <w:tcPr>
            <w:tcW w:w="2394" w:type="dxa"/>
          </w:tcPr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</w:p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proofErr w:type="spellStart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Php</w:t>
            </w:r>
            <w:proofErr w:type="spellEnd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 xml:space="preserve"> 635</w:t>
            </w:r>
          </w:p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proofErr w:type="spellStart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Php</w:t>
            </w:r>
            <w:proofErr w:type="spellEnd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 xml:space="preserve"> 945</w:t>
            </w:r>
          </w:p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</w:p>
          <w:p w:rsidR="0085251F" w:rsidRPr="00023015" w:rsidRDefault="0085251F" w:rsidP="001862CE">
            <w:pPr>
              <w:rPr>
                <w:rStyle w:val="Hyperlink"/>
                <w:rFonts w:ascii="Century Gothic" w:hAnsi="Century Gothic"/>
                <w:sz w:val="20"/>
                <w:u w:val="none"/>
              </w:rPr>
            </w:pPr>
            <w:proofErr w:type="spellStart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>Php</w:t>
            </w:r>
            <w:proofErr w:type="spellEnd"/>
            <w:r w:rsidRPr="00023015">
              <w:rPr>
                <w:rStyle w:val="Hyperlink"/>
                <w:rFonts w:ascii="Century Gothic" w:hAnsi="Century Gothic"/>
                <w:sz w:val="20"/>
                <w:u w:val="none"/>
              </w:rPr>
              <w:t xml:space="preserve"> 635</w:t>
            </w:r>
          </w:p>
        </w:tc>
      </w:tr>
    </w:tbl>
    <w:p w:rsidR="0081039B" w:rsidRDefault="0081039B"/>
    <w:sectPr w:rsidR="0081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1F"/>
    <w:rsid w:val="00023015"/>
    <w:rsid w:val="005A0E9D"/>
    <w:rsid w:val="0081039B"/>
    <w:rsid w:val="0085251F"/>
    <w:rsid w:val="00C5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5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251F"/>
    <w:pPr>
      <w:ind w:left="720"/>
      <w:contextualSpacing/>
    </w:pPr>
  </w:style>
  <w:style w:type="table" w:styleId="TableGrid">
    <w:name w:val="Table Grid"/>
    <w:basedOn w:val="TableNormal"/>
    <w:uiPriority w:val="59"/>
    <w:rsid w:val="00852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5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251F"/>
    <w:pPr>
      <w:ind w:left="720"/>
      <w:contextualSpacing/>
    </w:pPr>
  </w:style>
  <w:style w:type="table" w:styleId="TableGrid">
    <w:name w:val="Table Grid"/>
    <w:basedOn w:val="TableNormal"/>
    <w:uiPriority w:val="59"/>
    <w:rsid w:val="00852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065D36952CA46929BAEA7699E8303" ma:contentTypeVersion="3" ma:contentTypeDescription="Create a new document." ma:contentTypeScope="" ma:versionID="48c0abc1bc8964c2569532ab573ac50e">
  <xsd:schema xmlns:xsd="http://www.w3.org/2001/XMLSchema" xmlns:xs="http://www.w3.org/2001/XMLSchema" xmlns:p="http://schemas.microsoft.com/office/2006/metadata/properties" xmlns:ns1="http://schemas.microsoft.com/sharepoint/v3" xmlns:ns2="c0953c1c-d800-44f1-a7b1-6d88664ef875" targetNamespace="http://schemas.microsoft.com/office/2006/metadata/properties" ma:root="true" ma:fieldsID="04d4a468776b91ef95108a0557f25cd6" ns1:_="" ns2:_="">
    <xsd:import namespace="http://schemas.microsoft.com/sharepoint/v3"/>
    <xsd:import namespace="c0953c1c-d800-44f1-a7b1-6d88664ef87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53c1c-d800-44f1-a7b1-6d88664ef87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0953c1c-d800-44f1-a7b1-6d88664ef875">ACCJAJH5XP2H-1667548250-2</_dlc_DocId>
    <_dlc_DocIdUrl xmlns="c0953c1c-d800-44f1-a7b1-6d88664ef875">
      <Url>https://www.mfa.gov.bn/philippines_manila/_layouts/15/DocIdRedir.aspx?ID=ACCJAJH5XP2H-1667548250-2</Url>
      <Description>ACCJAJH5XP2H-1667548250-2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AAD43A0-7D52-457A-A151-D423C7A4E1B1}"/>
</file>

<file path=customXml/itemProps2.xml><?xml version="1.0" encoding="utf-8"?>
<ds:datastoreItem xmlns:ds="http://schemas.openxmlformats.org/officeDocument/2006/customXml" ds:itemID="{2D49B95F-7038-4D98-8781-8C2E2296A12B}"/>
</file>

<file path=customXml/itemProps3.xml><?xml version="1.0" encoding="utf-8"?>
<ds:datastoreItem xmlns:ds="http://schemas.openxmlformats.org/officeDocument/2006/customXml" ds:itemID="{385F066C-B140-4913-80D3-5C61203E4E4F}"/>
</file>

<file path=customXml/itemProps4.xml><?xml version="1.0" encoding="utf-8"?>
<ds:datastoreItem xmlns:ds="http://schemas.openxmlformats.org/officeDocument/2006/customXml" ds:itemID="{58DD55B5-BBA3-4AD8-9384-28CA0150F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Brunei Delegation</dc:creator>
  <cp:lastModifiedBy>Brunei Delegation</cp:lastModifiedBy>
  <cp:revision>2</cp:revision>
  <dcterms:created xsi:type="dcterms:W3CDTF">2017-07-10T08:23:00Z</dcterms:created>
  <dcterms:modified xsi:type="dcterms:W3CDTF">2017-07-10T08:23:00Z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0x010100C96065D36952CA46929BAEA7699E8303</vt:lpwstr>
  </property>
  <property fmtid="{D5CDD505-2E9C-101B-9397-08002B2CF9AE}" pid="3" name="_dlc_DocIdItemGuid">
    <vt:lpwstr>59b2d08e-b583-4c40-ab21-ec089cb9471f</vt:lpwstr>
  </property>
</Properties>
</file>